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672" w:rsidRDefault="00032672" w:rsidP="00032672">
      <w:pPr>
        <w:jc w:val="center"/>
        <w:rPr>
          <w:rFonts w:eastAsia="Times New Roman" w:cs="Times New Roman"/>
        </w:rPr>
      </w:pPr>
      <w:r>
        <w:rPr>
          <w:rFonts w:eastAsia="Times New Roman" w:cs="Times New Roman"/>
        </w:rPr>
        <w:t>LA PREDICCIÓN DE LA COMPRESIÓN LECTORA</w:t>
      </w:r>
    </w:p>
    <w:p w:rsidR="00032672" w:rsidRDefault="00032672" w:rsidP="00032672">
      <w:pPr>
        <w:rPr>
          <w:rFonts w:eastAsia="Times New Roman" w:cs="Times New Roman"/>
        </w:rPr>
      </w:pPr>
    </w:p>
    <w:p w:rsidR="00032672" w:rsidRDefault="00032672" w:rsidP="00837BFE">
      <w:pPr>
        <w:jc w:val="both"/>
        <w:rPr>
          <w:rFonts w:eastAsia="Times New Roman" w:cs="Times New Roman"/>
        </w:rPr>
      </w:pPr>
      <w:r>
        <w:rPr>
          <w:rFonts w:eastAsia="Times New Roman" w:cs="Times New Roman"/>
        </w:rPr>
        <w:t xml:space="preserve">Este estudio trata de determinar la validez predictiva de la prueba de Mª Victoria de la Cruz y </w:t>
      </w:r>
      <w:r w:rsidR="00837BFE">
        <w:rPr>
          <w:rFonts w:eastAsia="Times New Roman" w:cs="Times New Roman"/>
        </w:rPr>
        <w:t>de estimar</w:t>
      </w:r>
      <w:r>
        <w:rPr>
          <w:rFonts w:eastAsia="Times New Roman" w:cs="Times New Roman"/>
        </w:rPr>
        <w:t xml:space="preserve"> la puntuación en compresión lectora de un alumno</w:t>
      </w:r>
      <w:r w:rsidR="00837BFE">
        <w:rPr>
          <w:rFonts w:eastAsia="Times New Roman" w:cs="Times New Roman"/>
        </w:rPr>
        <w:t>,</w:t>
      </w:r>
      <w:r>
        <w:rPr>
          <w:rFonts w:eastAsia="Times New Roman" w:cs="Times New Roman"/>
        </w:rPr>
        <w:t xml:space="preserve"> a partir del valor alcanzado en dicha prueba. Para ello</w:t>
      </w:r>
      <w:r w:rsidR="00837BFE">
        <w:rPr>
          <w:rFonts w:eastAsia="Times New Roman" w:cs="Times New Roman"/>
        </w:rPr>
        <w:t>,</w:t>
      </w:r>
      <w:r>
        <w:rPr>
          <w:rFonts w:eastAsia="Times New Roman" w:cs="Times New Roman"/>
        </w:rPr>
        <w:t xml:space="preserve"> se ha aplicado la prueba y se ha medido la compresión lectora a un grupo de </w:t>
      </w:r>
      <w:r w:rsidR="007E0EFE">
        <w:rPr>
          <w:rFonts w:eastAsia="Times New Roman" w:cs="Times New Roman"/>
        </w:rPr>
        <w:t xml:space="preserve">36 </w:t>
      </w:r>
      <w:r>
        <w:rPr>
          <w:rFonts w:eastAsia="Times New Roman" w:cs="Times New Roman"/>
        </w:rPr>
        <w:t>alumnos de educación infantil.</w:t>
      </w:r>
    </w:p>
    <w:p w:rsidR="00032672" w:rsidRDefault="00032672" w:rsidP="00837BFE">
      <w:pPr>
        <w:jc w:val="both"/>
        <w:rPr>
          <w:rFonts w:eastAsia="Times New Roman" w:cs="Times New Roman"/>
        </w:rPr>
      </w:pPr>
    </w:p>
    <w:p w:rsidR="007255C5" w:rsidRDefault="00032672" w:rsidP="00837BFE">
      <w:pPr>
        <w:jc w:val="both"/>
      </w:pPr>
      <w:r>
        <w:rPr>
          <w:rFonts w:eastAsia="Times New Roman" w:cs="Times New Roman"/>
        </w:rPr>
        <w:t>El informe se estructura en cuatro partes. La primera de ellas presenta el problema que se ha estudiado</w:t>
      </w:r>
      <w:r w:rsidRPr="00032672">
        <w:t xml:space="preserve"> </w:t>
      </w:r>
      <w:r w:rsidRPr="00C950E6">
        <w:t>y la metodología que se ha seguido para recoger datos empíricos acerca del mismo, detallando aspectos tales como diseño metodológico, muestra estudiada, técnicas de recogida de datos.</w:t>
      </w:r>
      <w:r>
        <w:t xml:space="preserve"> La segunda de ellas explica </w:t>
      </w:r>
      <w:r w:rsidRPr="00C950E6">
        <w:t>las técnicas estadísticas utilizadas en el análisis de los datos, indicando con qué finalidad se ha empleado cada una de ellas</w:t>
      </w:r>
      <w:r w:rsidR="00A95EDC">
        <w:t>. La tercera de ellas se organiza</w:t>
      </w:r>
      <w:r w:rsidR="00A95EDC" w:rsidRPr="00A95EDC">
        <w:t xml:space="preserve"> </w:t>
      </w:r>
      <w:r w:rsidR="00A95EDC">
        <w:t xml:space="preserve">en apartados que se corresponden </w:t>
      </w:r>
      <w:r w:rsidR="00A95EDC" w:rsidRPr="00C950E6">
        <w:t>con los diferentes aspectos estudiados.</w:t>
      </w:r>
      <w:r w:rsidR="00A95EDC">
        <w:t xml:space="preserve"> Y la cuarta es un apartado de conclusiones en el que se sintetizan</w:t>
      </w:r>
      <w:r w:rsidR="00A95EDC" w:rsidRPr="00C950E6">
        <w:t xml:space="preserve"> las respuestas a los interrogantes de partida</w:t>
      </w:r>
      <w:r w:rsidR="00A95EDC">
        <w:t xml:space="preserve"> y</w:t>
      </w:r>
      <w:r w:rsidR="00F835C2">
        <w:t xml:space="preserve"> se efectúan las</w:t>
      </w:r>
      <w:r w:rsidR="00A95EDC" w:rsidRPr="00C950E6">
        <w:t xml:space="preserve"> recomendaciones </w:t>
      </w:r>
      <w:r w:rsidR="00F835C2">
        <w:t>oportunas</w:t>
      </w:r>
      <w:r w:rsidR="00A95EDC" w:rsidRPr="00C950E6">
        <w:t>.</w:t>
      </w:r>
    </w:p>
    <w:p w:rsidR="00A95EDC" w:rsidRDefault="00A95EDC" w:rsidP="00837BFE">
      <w:pPr>
        <w:jc w:val="both"/>
      </w:pPr>
    </w:p>
    <w:p w:rsidR="00A95EDC" w:rsidRDefault="00A95EDC" w:rsidP="00837BFE">
      <w:pPr>
        <w:pStyle w:val="Prrafodelista"/>
        <w:numPr>
          <w:ilvl w:val="0"/>
          <w:numId w:val="1"/>
        </w:numPr>
        <w:jc w:val="both"/>
      </w:pPr>
      <w:r>
        <w:t>Planteamiento del estudio.</w:t>
      </w:r>
    </w:p>
    <w:p w:rsidR="00A95EDC" w:rsidRDefault="00A95EDC" w:rsidP="00837BFE">
      <w:pPr>
        <w:jc w:val="both"/>
      </w:pPr>
    </w:p>
    <w:p w:rsidR="00A95EDC" w:rsidRDefault="00A95EDC" w:rsidP="00837BFE">
      <w:pPr>
        <w:jc w:val="both"/>
      </w:pPr>
      <w:r>
        <w:t xml:space="preserve">Este estudio trata de determinar la validez </w:t>
      </w:r>
      <w:proofErr w:type="spellStart"/>
      <w:r>
        <w:t>criterial</w:t>
      </w:r>
      <w:proofErr w:type="spellEnd"/>
      <w:r>
        <w:t xml:space="preserve"> de la Prueba de Predicción Lectura de María Victoria de la Cruz y </w:t>
      </w:r>
      <w:r w:rsidR="00A537F6">
        <w:t>de estimar</w:t>
      </w:r>
      <w:r>
        <w:t xml:space="preserve"> las puntuaciones de los alumnos en compresión lectora, a partir de los resultados </w:t>
      </w:r>
      <w:r w:rsidR="00A537F6">
        <w:t>obtenidos en</w:t>
      </w:r>
      <w:r>
        <w:t xml:space="preserve"> dicha prueba. Para determinar </w:t>
      </w:r>
      <w:r w:rsidR="00A537F6">
        <w:t>la</w:t>
      </w:r>
      <w:r>
        <w:t xml:space="preserve"> validez </w:t>
      </w:r>
      <w:proofErr w:type="spellStart"/>
      <w:r w:rsidR="00A537F6">
        <w:t>criterial</w:t>
      </w:r>
      <w:proofErr w:type="spellEnd"/>
      <w:r w:rsidR="00A537F6">
        <w:t xml:space="preserve"> </w:t>
      </w:r>
      <w:r>
        <w:t xml:space="preserve">hemos desarrollado un estudio de tipo </w:t>
      </w:r>
      <w:proofErr w:type="spellStart"/>
      <w:r>
        <w:t>correlacional</w:t>
      </w:r>
      <w:proofErr w:type="spellEnd"/>
      <w:r>
        <w:t>-predictivo en una muestra de 36 alumnos de educación infantil a los que se ha administrado dicha Prueba y se ha determinado su puntuación en compresión lectora a partir de las anotaciones de los profesores.</w:t>
      </w:r>
    </w:p>
    <w:p w:rsidR="00A95EDC" w:rsidRDefault="00A95EDC" w:rsidP="00837BFE">
      <w:pPr>
        <w:jc w:val="both"/>
      </w:pPr>
    </w:p>
    <w:p w:rsidR="00A95EDC" w:rsidRDefault="00A95EDC" w:rsidP="00837BFE">
      <w:pPr>
        <w:pStyle w:val="Prrafodelista"/>
        <w:numPr>
          <w:ilvl w:val="0"/>
          <w:numId w:val="1"/>
        </w:numPr>
        <w:jc w:val="both"/>
      </w:pPr>
      <w:r>
        <w:t>Procedimiento de análisis.</w:t>
      </w:r>
    </w:p>
    <w:p w:rsidR="00A95EDC" w:rsidRDefault="00A95EDC" w:rsidP="00837BFE">
      <w:pPr>
        <w:jc w:val="both"/>
      </w:pPr>
    </w:p>
    <w:p w:rsidR="00A95EDC" w:rsidRDefault="00493E4A" w:rsidP="00837BFE">
      <w:pPr>
        <w:jc w:val="both"/>
      </w:pPr>
      <w:r>
        <w:t>El análisis de la información recogida</w:t>
      </w:r>
      <w:r w:rsidR="00A537F6">
        <w:t>,</w:t>
      </w:r>
      <w:r>
        <w:t xml:space="preserve"> sobre cada uno de los alumnos, tanto en la prueba de predicción lectora</w:t>
      </w:r>
      <w:r w:rsidR="00A537F6">
        <w:t>,</w:t>
      </w:r>
      <w:r>
        <w:t xml:space="preserve"> como </w:t>
      </w:r>
      <w:r w:rsidR="00A537F6">
        <w:t>en la variable</w:t>
      </w:r>
      <w:r>
        <w:t xml:space="preserve"> comprensión lectora, se ha llevado a cabo a partir del coeficiente de correlación</w:t>
      </w:r>
      <w:r w:rsidR="00B33EE2">
        <w:t xml:space="preserve"> de </w:t>
      </w:r>
      <w:proofErr w:type="spellStart"/>
      <w:r w:rsidR="00B33EE2">
        <w:t>Pearson</w:t>
      </w:r>
      <w:proofErr w:type="spellEnd"/>
      <w:r w:rsidR="00B33EE2">
        <w:t>. Además, para determinar la puntuación en comprensión lectora</w:t>
      </w:r>
      <w:r w:rsidR="00A537F6">
        <w:t xml:space="preserve"> (Y),</w:t>
      </w:r>
      <w:r w:rsidR="00B33EE2">
        <w:t xml:space="preserve"> a partir de la que alcanza un alumno en la prueba de </w:t>
      </w:r>
      <w:r w:rsidR="00A537F6">
        <w:t xml:space="preserve">predicción lectora de </w:t>
      </w:r>
      <w:r w:rsidR="00B33EE2">
        <w:t>Mª Victoria de la Cruz</w:t>
      </w:r>
      <w:r w:rsidR="00A537F6">
        <w:t xml:space="preserve"> (X),</w:t>
      </w:r>
      <w:r w:rsidR="00092D80">
        <w:t xml:space="preserve"> hemos empleado la ecuación de regresión lineal.</w:t>
      </w:r>
    </w:p>
    <w:p w:rsidR="00092D80" w:rsidRDefault="00092D80" w:rsidP="00837BFE">
      <w:pPr>
        <w:jc w:val="both"/>
      </w:pPr>
    </w:p>
    <w:p w:rsidR="00092D80" w:rsidRDefault="00092D80" w:rsidP="00837BFE">
      <w:pPr>
        <w:pStyle w:val="Prrafodelista"/>
        <w:numPr>
          <w:ilvl w:val="0"/>
          <w:numId w:val="1"/>
        </w:numPr>
        <w:jc w:val="both"/>
      </w:pPr>
      <w:r>
        <w:t>Resultados.</w:t>
      </w:r>
    </w:p>
    <w:p w:rsidR="00092D80" w:rsidRDefault="00092D80" w:rsidP="00837BFE">
      <w:pPr>
        <w:jc w:val="both"/>
      </w:pPr>
    </w:p>
    <w:p w:rsidR="0069058F" w:rsidRDefault="00A537F6" w:rsidP="00837BFE">
      <w:pPr>
        <w:jc w:val="both"/>
      </w:pPr>
      <w:r>
        <w:t>Como puede apreciarse en la tabla 3.1, existe una correlación muy alta</w:t>
      </w:r>
      <w:r w:rsidR="00CA1A4A">
        <w:t xml:space="preserve"> (0,88)</w:t>
      </w:r>
      <w:r w:rsidR="00092D80">
        <w:t xml:space="preserve"> entre los resultados de la prueba de Mª Victoria de la Cruz y las puntuaciones en compresión lectora</w:t>
      </w:r>
      <w:r w:rsidR="00CA1A4A">
        <w:t>. Tal afirmación puede establecerse con un nivel de confianza del 99%, puesto que el valor de significación obtenido (,000)</w:t>
      </w:r>
      <w:r w:rsidR="00092D80">
        <w:t xml:space="preserve"> es</w:t>
      </w:r>
      <w:r w:rsidR="00CA1A4A">
        <w:t xml:space="preserve"> inferior a </w:t>
      </w:r>
      <w:r w:rsidR="00092D80">
        <w:t>0,01.</w:t>
      </w:r>
      <w:r w:rsidR="00CA1A4A">
        <w:t xml:space="preserve"> Tomando además</w:t>
      </w:r>
      <w:r w:rsidR="00092D80">
        <w:t xml:space="preserve"> </w:t>
      </w:r>
      <w:r w:rsidR="00CA1A4A">
        <w:t xml:space="preserve">en consideración el signo del coeficiente, podemos afirmar que existe una tendencia muy alta a que aquellos sujetos que obtienen las puntuaciones más altas en la prueba de predicción lectora sean los que finalmente demuestren una mejor comprensión lectora. </w:t>
      </w:r>
    </w:p>
    <w:p w:rsidR="0069058F" w:rsidRDefault="0069058F" w:rsidP="00837BFE">
      <w:pPr>
        <w:jc w:val="both"/>
      </w:pPr>
    </w:p>
    <w:p w:rsidR="0069058F" w:rsidRPr="0069058F" w:rsidRDefault="0069058F" w:rsidP="0069058F">
      <w:pPr>
        <w:autoSpaceDE w:val="0"/>
        <w:autoSpaceDN w:val="0"/>
        <w:adjustRightInd w:val="0"/>
        <w:rPr>
          <w:rFonts w:ascii="Times New Roman" w:hAnsi="Times New Roman" w:cs="Times New Roman"/>
          <w:lang w:val="es-ES"/>
        </w:rPr>
      </w:pPr>
    </w:p>
    <w:tbl>
      <w:tblPr>
        <w:tblW w:w="76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2426"/>
        <w:gridCol w:w="2273"/>
        <w:gridCol w:w="1455"/>
        <w:gridCol w:w="1453"/>
      </w:tblGrid>
      <w:tr w:rsidR="0069058F" w:rsidRPr="0069058F">
        <w:tblPrEx>
          <w:tblCellMar>
            <w:top w:w="0" w:type="dxa"/>
            <w:bottom w:w="0" w:type="dxa"/>
          </w:tblCellMar>
        </w:tblPrEx>
        <w:trPr>
          <w:cantSplit/>
          <w:tblHeader/>
        </w:trPr>
        <w:tc>
          <w:tcPr>
            <w:tcW w:w="7605" w:type="dxa"/>
            <w:gridSpan w:val="4"/>
            <w:tcBorders>
              <w:top w:val="nil"/>
              <w:left w:val="nil"/>
              <w:bottom w:val="nil"/>
              <w:right w:val="nil"/>
            </w:tcBorders>
            <w:shd w:val="clear" w:color="auto" w:fill="FFFFFF"/>
            <w:vAlign w:val="center"/>
          </w:tcPr>
          <w:p w:rsidR="0069058F" w:rsidRPr="0069058F" w:rsidRDefault="0069058F" w:rsidP="0069058F">
            <w:pPr>
              <w:autoSpaceDE w:val="0"/>
              <w:autoSpaceDN w:val="0"/>
              <w:adjustRightInd w:val="0"/>
              <w:spacing w:line="320" w:lineRule="atLeast"/>
              <w:ind w:left="60" w:right="60"/>
              <w:jc w:val="center"/>
              <w:rPr>
                <w:rFonts w:ascii="Arial" w:hAnsi="Arial" w:cs="Arial"/>
                <w:color w:val="000000"/>
                <w:sz w:val="18"/>
                <w:szCs w:val="18"/>
                <w:lang w:val="es-ES"/>
              </w:rPr>
            </w:pPr>
          </w:p>
        </w:tc>
      </w:tr>
      <w:tr w:rsidR="0069058F" w:rsidRPr="0069058F">
        <w:tblPrEx>
          <w:tblCellMar>
            <w:top w:w="0" w:type="dxa"/>
            <w:bottom w:w="0" w:type="dxa"/>
          </w:tblCellMar>
        </w:tblPrEx>
        <w:trPr>
          <w:cantSplit/>
          <w:tblHeader/>
        </w:trPr>
        <w:tc>
          <w:tcPr>
            <w:tcW w:w="4697"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69058F" w:rsidRPr="0069058F" w:rsidRDefault="0069058F" w:rsidP="0069058F">
            <w:pPr>
              <w:autoSpaceDE w:val="0"/>
              <w:autoSpaceDN w:val="0"/>
              <w:adjustRightInd w:val="0"/>
              <w:jc w:val="center"/>
              <w:rPr>
                <w:rFonts w:ascii="Times New Roman" w:hAnsi="Times New Roman" w:cs="Times New Roman"/>
                <w:lang w:val="es-ES"/>
              </w:rPr>
            </w:pPr>
          </w:p>
        </w:tc>
        <w:tc>
          <w:tcPr>
            <w:tcW w:w="1455" w:type="dxa"/>
            <w:tcBorders>
              <w:top w:val="single" w:sz="16" w:space="0" w:color="000000"/>
              <w:left w:val="single" w:sz="16" w:space="0" w:color="000000"/>
              <w:bottom w:val="single" w:sz="16" w:space="0" w:color="000000"/>
            </w:tcBorders>
            <w:shd w:val="clear" w:color="auto" w:fill="FFFFFF"/>
            <w:vAlign w:val="bottom"/>
          </w:tcPr>
          <w:p w:rsidR="0069058F" w:rsidRPr="0069058F" w:rsidRDefault="0069058F" w:rsidP="0069058F">
            <w:pPr>
              <w:autoSpaceDE w:val="0"/>
              <w:autoSpaceDN w:val="0"/>
              <w:adjustRightInd w:val="0"/>
              <w:spacing w:line="320" w:lineRule="atLeast"/>
              <w:ind w:left="60" w:right="60"/>
              <w:jc w:val="center"/>
              <w:rPr>
                <w:rFonts w:ascii="Arial" w:hAnsi="Arial" w:cs="Arial"/>
                <w:color w:val="000000"/>
                <w:sz w:val="18"/>
                <w:szCs w:val="18"/>
                <w:lang w:val="es-ES"/>
              </w:rPr>
            </w:pPr>
            <w:r w:rsidRPr="0069058F">
              <w:rPr>
                <w:rFonts w:ascii="Arial" w:hAnsi="Arial" w:cs="Arial"/>
                <w:color w:val="000000"/>
                <w:sz w:val="18"/>
                <w:szCs w:val="18"/>
                <w:lang w:val="es-ES"/>
              </w:rPr>
              <w:t>Test María Victoria de la Cruz</w:t>
            </w:r>
          </w:p>
        </w:tc>
        <w:tc>
          <w:tcPr>
            <w:tcW w:w="1453" w:type="dxa"/>
            <w:tcBorders>
              <w:top w:val="single" w:sz="16" w:space="0" w:color="000000"/>
              <w:bottom w:val="single" w:sz="16" w:space="0" w:color="000000"/>
              <w:right w:val="single" w:sz="16" w:space="0" w:color="000000"/>
            </w:tcBorders>
            <w:shd w:val="clear" w:color="auto" w:fill="FFFFFF"/>
            <w:vAlign w:val="bottom"/>
          </w:tcPr>
          <w:p w:rsidR="0069058F" w:rsidRPr="0069058F" w:rsidRDefault="0069058F" w:rsidP="0069058F">
            <w:pPr>
              <w:autoSpaceDE w:val="0"/>
              <w:autoSpaceDN w:val="0"/>
              <w:adjustRightInd w:val="0"/>
              <w:spacing w:line="320" w:lineRule="atLeast"/>
              <w:ind w:left="60" w:right="60"/>
              <w:jc w:val="center"/>
              <w:rPr>
                <w:rFonts w:ascii="Arial" w:hAnsi="Arial" w:cs="Arial"/>
                <w:color w:val="000000"/>
                <w:sz w:val="18"/>
                <w:szCs w:val="18"/>
                <w:lang w:val="es-ES"/>
              </w:rPr>
            </w:pPr>
            <w:r w:rsidRPr="0069058F">
              <w:rPr>
                <w:rFonts w:ascii="Arial" w:hAnsi="Arial" w:cs="Arial"/>
                <w:color w:val="000000"/>
                <w:sz w:val="18"/>
                <w:szCs w:val="18"/>
                <w:lang w:val="es-ES"/>
              </w:rPr>
              <w:t>Comprensión lectora</w:t>
            </w:r>
          </w:p>
        </w:tc>
      </w:tr>
      <w:tr w:rsidR="0069058F" w:rsidRPr="0069058F">
        <w:tblPrEx>
          <w:tblCellMar>
            <w:top w:w="0" w:type="dxa"/>
            <w:bottom w:w="0" w:type="dxa"/>
          </w:tblCellMar>
        </w:tblPrEx>
        <w:trPr>
          <w:cantSplit/>
          <w:tblHeader/>
        </w:trPr>
        <w:tc>
          <w:tcPr>
            <w:tcW w:w="2425" w:type="dxa"/>
            <w:vMerge w:val="restart"/>
            <w:tcBorders>
              <w:top w:val="single" w:sz="16" w:space="0" w:color="000000"/>
              <w:left w:val="single" w:sz="16" w:space="0" w:color="000000"/>
              <w:right w:val="nil"/>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Test María Victoria de la Cruz</w:t>
            </w:r>
          </w:p>
        </w:tc>
        <w:tc>
          <w:tcPr>
            <w:tcW w:w="2272" w:type="dxa"/>
            <w:tcBorders>
              <w:top w:val="single" w:sz="16" w:space="0" w:color="000000"/>
              <w:left w:val="nil"/>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 xml:space="preserve">Correlación de </w:t>
            </w:r>
            <w:proofErr w:type="spellStart"/>
            <w:r w:rsidRPr="0069058F">
              <w:rPr>
                <w:rFonts w:ascii="Arial" w:hAnsi="Arial" w:cs="Arial"/>
                <w:color w:val="000000"/>
                <w:sz w:val="18"/>
                <w:szCs w:val="18"/>
                <w:lang w:val="es-ES"/>
              </w:rPr>
              <w:t>Pearson</w:t>
            </w:r>
            <w:proofErr w:type="spellEnd"/>
          </w:p>
        </w:tc>
        <w:tc>
          <w:tcPr>
            <w:tcW w:w="1455" w:type="dxa"/>
            <w:tcBorders>
              <w:top w:val="single" w:sz="16" w:space="0" w:color="000000"/>
              <w:left w:val="single" w:sz="16" w:space="0" w:color="000000"/>
              <w:bottom w:val="nil"/>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1</w:t>
            </w:r>
          </w:p>
        </w:tc>
        <w:tc>
          <w:tcPr>
            <w:tcW w:w="1453" w:type="dxa"/>
            <w:tcBorders>
              <w:top w:val="single" w:sz="16" w:space="0" w:color="000000"/>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,876</w:t>
            </w:r>
            <w:r w:rsidRPr="0069058F">
              <w:rPr>
                <w:rFonts w:ascii="Arial" w:hAnsi="Arial" w:cs="Arial"/>
                <w:color w:val="000000"/>
                <w:sz w:val="18"/>
                <w:szCs w:val="18"/>
                <w:vertAlign w:val="superscript"/>
                <w:lang w:val="es-ES"/>
              </w:rPr>
              <w:t>**</w:t>
            </w:r>
          </w:p>
        </w:tc>
      </w:tr>
      <w:tr w:rsidR="0069058F" w:rsidRPr="0069058F">
        <w:tblPrEx>
          <w:tblCellMar>
            <w:top w:w="0" w:type="dxa"/>
            <w:bottom w:w="0" w:type="dxa"/>
          </w:tblCellMar>
        </w:tblPrEx>
        <w:trPr>
          <w:cantSplit/>
          <w:tblHeader/>
        </w:trPr>
        <w:tc>
          <w:tcPr>
            <w:tcW w:w="2425" w:type="dxa"/>
            <w:vMerge/>
            <w:tcBorders>
              <w:top w:val="single" w:sz="16" w:space="0" w:color="000000"/>
              <w:left w:val="single" w:sz="16" w:space="0" w:color="000000"/>
              <w:right w:val="nil"/>
            </w:tcBorders>
            <w:shd w:val="clear" w:color="auto" w:fill="FFFFFF"/>
          </w:tcPr>
          <w:p w:rsidR="0069058F" w:rsidRPr="0069058F" w:rsidRDefault="0069058F" w:rsidP="0069058F">
            <w:pPr>
              <w:autoSpaceDE w:val="0"/>
              <w:autoSpaceDN w:val="0"/>
              <w:adjustRightInd w:val="0"/>
              <w:rPr>
                <w:rFonts w:ascii="Arial" w:hAnsi="Arial" w:cs="Arial"/>
                <w:color w:val="000000"/>
                <w:sz w:val="18"/>
                <w:szCs w:val="18"/>
                <w:lang w:val="es-ES"/>
              </w:rPr>
            </w:pPr>
          </w:p>
        </w:tc>
        <w:tc>
          <w:tcPr>
            <w:tcW w:w="2272" w:type="dxa"/>
            <w:tcBorders>
              <w:top w:val="nil"/>
              <w:left w:val="nil"/>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Sig. (bilateral)</w:t>
            </w:r>
          </w:p>
        </w:tc>
        <w:tc>
          <w:tcPr>
            <w:tcW w:w="1455" w:type="dxa"/>
            <w:tcBorders>
              <w:top w:val="nil"/>
              <w:left w:val="single" w:sz="16" w:space="0" w:color="000000"/>
              <w:bottom w:val="nil"/>
            </w:tcBorders>
            <w:shd w:val="clear" w:color="auto" w:fill="FFFFFF"/>
            <w:vAlign w:val="center"/>
          </w:tcPr>
          <w:p w:rsidR="0069058F" w:rsidRPr="0069058F" w:rsidRDefault="0069058F" w:rsidP="0069058F">
            <w:pPr>
              <w:autoSpaceDE w:val="0"/>
              <w:autoSpaceDN w:val="0"/>
              <w:adjustRightInd w:val="0"/>
              <w:jc w:val="center"/>
              <w:rPr>
                <w:rFonts w:ascii="Times New Roman" w:hAnsi="Times New Roman" w:cs="Times New Roman"/>
                <w:lang w:val="es-ES"/>
              </w:rPr>
            </w:pPr>
          </w:p>
        </w:tc>
        <w:tc>
          <w:tcPr>
            <w:tcW w:w="1453" w:type="dxa"/>
            <w:tcBorders>
              <w:top w:val="nil"/>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,000</w:t>
            </w:r>
          </w:p>
        </w:tc>
      </w:tr>
      <w:tr w:rsidR="0069058F" w:rsidRPr="0069058F">
        <w:tblPrEx>
          <w:tblCellMar>
            <w:top w:w="0" w:type="dxa"/>
            <w:bottom w:w="0" w:type="dxa"/>
          </w:tblCellMar>
        </w:tblPrEx>
        <w:trPr>
          <w:cantSplit/>
          <w:tblHeader/>
        </w:trPr>
        <w:tc>
          <w:tcPr>
            <w:tcW w:w="2425" w:type="dxa"/>
            <w:vMerge/>
            <w:tcBorders>
              <w:top w:val="single" w:sz="16" w:space="0" w:color="000000"/>
              <w:left w:val="single" w:sz="16" w:space="0" w:color="000000"/>
              <w:right w:val="nil"/>
            </w:tcBorders>
            <w:shd w:val="clear" w:color="auto" w:fill="FFFFFF"/>
          </w:tcPr>
          <w:p w:rsidR="0069058F" w:rsidRPr="0069058F" w:rsidRDefault="0069058F" w:rsidP="0069058F">
            <w:pPr>
              <w:autoSpaceDE w:val="0"/>
              <w:autoSpaceDN w:val="0"/>
              <w:adjustRightInd w:val="0"/>
              <w:rPr>
                <w:rFonts w:ascii="Arial" w:hAnsi="Arial" w:cs="Arial"/>
                <w:color w:val="000000"/>
                <w:sz w:val="18"/>
                <w:szCs w:val="18"/>
                <w:lang w:val="es-ES"/>
              </w:rPr>
            </w:pPr>
          </w:p>
        </w:tc>
        <w:tc>
          <w:tcPr>
            <w:tcW w:w="2272" w:type="dxa"/>
            <w:tcBorders>
              <w:top w:val="nil"/>
              <w:left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N</w:t>
            </w:r>
          </w:p>
        </w:tc>
        <w:tc>
          <w:tcPr>
            <w:tcW w:w="1455" w:type="dxa"/>
            <w:tcBorders>
              <w:top w:val="nil"/>
              <w:lef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36</w:t>
            </w:r>
          </w:p>
        </w:tc>
        <w:tc>
          <w:tcPr>
            <w:tcW w:w="1453" w:type="dxa"/>
            <w:tcBorders>
              <w:top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36</w:t>
            </w:r>
          </w:p>
        </w:tc>
      </w:tr>
      <w:tr w:rsidR="0069058F" w:rsidRPr="0069058F">
        <w:tblPrEx>
          <w:tblCellMar>
            <w:top w:w="0" w:type="dxa"/>
            <w:bottom w:w="0" w:type="dxa"/>
          </w:tblCellMar>
        </w:tblPrEx>
        <w:trPr>
          <w:cantSplit/>
          <w:tblHeader/>
        </w:trPr>
        <w:tc>
          <w:tcPr>
            <w:tcW w:w="2425" w:type="dxa"/>
            <w:vMerge w:val="restart"/>
            <w:tcBorders>
              <w:left w:val="single" w:sz="16" w:space="0" w:color="000000"/>
              <w:bottom w:val="single" w:sz="16" w:space="0" w:color="000000"/>
              <w:right w:val="nil"/>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Comprensión lectora</w:t>
            </w:r>
          </w:p>
        </w:tc>
        <w:tc>
          <w:tcPr>
            <w:tcW w:w="2272" w:type="dxa"/>
            <w:tcBorders>
              <w:left w:val="nil"/>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 xml:space="preserve">Correlación de </w:t>
            </w:r>
            <w:proofErr w:type="spellStart"/>
            <w:r w:rsidRPr="0069058F">
              <w:rPr>
                <w:rFonts w:ascii="Arial" w:hAnsi="Arial" w:cs="Arial"/>
                <w:color w:val="000000"/>
                <w:sz w:val="18"/>
                <w:szCs w:val="18"/>
                <w:lang w:val="es-ES"/>
              </w:rPr>
              <w:t>Pearson</w:t>
            </w:r>
            <w:proofErr w:type="spellEnd"/>
          </w:p>
        </w:tc>
        <w:tc>
          <w:tcPr>
            <w:tcW w:w="1455" w:type="dxa"/>
            <w:tcBorders>
              <w:left w:val="single" w:sz="16" w:space="0" w:color="000000"/>
              <w:bottom w:val="nil"/>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,876</w:t>
            </w:r>
            <w:r w:rsidRPr="0069058F">
              <w:rPr>
                <w:rFonts w:ascii="Arial" w:hAnsi="Arial" w:cs="Arial"/>
                <w:color w:val="000000"/>
                <w:sz w:val="18"/>
                <w:szCs w:val="18"/>
                <w:vertAlign w:val="superscript"/>
                <w:lang w:val="es-ES"/>
              </w:rPr>
              <w:t>**</w:t>
            </w:r>
          </w:p>
        </w:tc>
        <w:tc>
          <w:tcPr>
            <w:tcW w:w="1453" w:type="dxa"/>
            <w:tcBorders>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1</w:t>
            </w:r>
          </w:p>
        </w:tc>
      </w:tr>
      <w:tr w:rsidR="0069058F" w:rsidRPr="0069058F">
        <w:tblPrEx>
          <w:tblCellMar>
            <w:top w:w="0" w:type="dxa"/>
            <w:bottom w:w="0" w:type="dxa"/>
          </w:tblCellMar>
        </w:tblPrEx>
        <w:trPr>
          <w:cantSplit/>
          <w:tblHeader/>
        </w:trPr>
        <w:tc>
          <w:tcPr>
            <w:tcW w:w="2425" w:type="dxa"/>
            <w:vMerge/>
            <w:tcBorders>
              <w:left w:val="single" w:sz="16" w:space="0" w:color="000000"/>
              <w:bottom w:val="single" w:sz="16" w:space="0" w:color="000000"/>
              <w:right w:val="nil"/>
            </w:tcBorders>
            <w:shd w:val="clear" w:color="auto" w:fill="FFFFFF"/>
          </w:tcPr>
          <w:p w:rsidR="0069058F" w:rsidRPr="0069058F" w:rsidRDefault="0069058F" w:rsidP="0069058F">
            <w:pPr>
              <w:autoSpaceDE w:val="0"/>
              <w:autoSpaceDN w:val="0"/>
              <w:adjustRightInd w:val="0"/>
              <w:rPr>
                <w:rFonts w:ascii="Arial" w:hAnsi="Arial" w:cs="Arial"/>
                <w:color w:val="000000"/>
                <w:sz w:val="18"/>
                <w:szCs w:val="18"/>
                <w:lang w:val="es-ES"/>
              </w:rPr>
            </w:pPr>
          </w:p>
        </w:tc>
        <w:tc>
          <w:tcPr>
            <w:tcW w:w="2272" w:type="dxa"/>
            <w:tcBorders>
              <w:top w:val="nil"/>
              <w:left w:val="nil"/>
              <w:bottom w:val="nil"/>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Sig. (bilateral)</w:t>
            </w:r>
          </w:p>
        </w:tc>
        <w:tc>
          <w:tcPr>
            <w:tcW w:w="1455" w:type="dxa"/>
            <w:tcBorders>
              <w:top w:val="nil"/>
              <w:left w:val="single" w:sz="16" w:space="0" w:color="000000"/>
              <w:bottom w:val="nil"/>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,000</w:t>
            </w:r>
          </w:p>
        </w:tc>
        <w:tc>
          <w:tcPr>
            <w:tcW w:w="1453" w:type="dxa"/>
            <w:tcBorders>
              <w:top w:val="nil"/>
              <w:bottom w:val="nil"/>
              <w:right w:val="single" w:sz="16" w:space="0" w:color="000000"/>
            </w:tcBorders>
            <w:shd w:val="clear" w:color="auto" w:fill="FFFFFF"/>
            <w:vAlign w:val="center"/>
          </w:tcPr>
          <w:p w:rsidR="0069058F" w:rsidRPr="0069058F" w:rsidRDefault="0069058F" w:rsidP="0069058F">
            <w:pPr>
              <w:autoSpaceDE w:val="0"/>
              <w:autoSpaceDN w:val="0"/>
              <w:adjustRightInd w:val="0"/>
              <w:jc w:val="center"/>
              <w:rPr>
                <w:rFonts w:ascii="Times New Roman" w:hAnsi="Times New Roman" w:cs="Times New Roman"/>
                <w:lang w:val="es-ES"/>
              </w:rPr>
            </w:pPr>
          </w:p>
        </w:tc>
      </w:tr>
      <w:tr w:rsidR="0069058F" w:rsidRPr="0069058F">
        <w:tblPrEx>
          <w:tblCellMar>
            <w:top w:w="0" w:type="dxa"/>
            <w:bottom w:w="0" w:type="dxa"/>
          </w:tblCellMar>
        </w:tblPrEx>
        <w:trPr>
          <w:cantSplit/>
          <w:tblHeader/>
        </w:trPr>
        <w:tc>
          <w:tcPr>
            <w:tcW w:w="2425" w:type="dxa"/>
            <w:vMerge/>
            <w:tcBorders>
              <w:left w:val="single" w:sz="16" w:space="0" w:color="000000"/>
              <w:bottom w:val="single" w:sz="16" w:space="0" w:color="000000"/>
              <w:right w:val="nil"/>
            </w:tcBorders>
            <w:shd w:val="clear" w:color="auto" w:fill="FFFFFF"/>
          </w:tcPr>
          <w:p w:rsidR="0069058F" w:rsidRPr="0069058F" w:rsidRDefault="0069058F" w:rsidP="0069058F">
            <w:pPr>
              <w:autoSpaceDE w:val="0"/>
              <w:autoSpaceDN w:val="0"/>
              <w:adjustRightInd w:val="0"/>
              <w:rPr>
                <w:rFonts w:ascii="Times New Roman" w:hAnsi="Times New Roman" w:cs="Times New Roman"/>
                <w:lang w:val="es-ES"/>
              </w:rPr>
            </w:pPr>
          </w:p>
        </w:tc>
        <w:tc>
          <w:tcPr>
            <w:tcW w:w="2272" w:type="dxa"/>
            <w:tcBorders>
              <w:top w:val="nil"/>
              <w:left w:val="nil"/>
              <w:bottom w:val="single" w:sz="16" w:space="0" w:color="000000"/>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hAnsi="Arial" w:cs="Arial"/>
                <w:color w:val="000000"/>
                <w:sz w:val="18"/>
                <w:szCs w:val="18"/>
                <w:lang w:val="es-ES"/>
              </w:rPr>
              <w:t>N</w:t>
            </w:r>
          </w:p>
        </w:tc>
        <w:tc>
          <w:tcPr>
            <w:tcW w:w="1455" w:type="dxa"/>
            <w:tcBorders>
              <w:top w:val="nil"/>
              <w:left w:val="single" w:sz="16" w:space="0" w:color="000000"/>
              <w:bottom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36</w:t>
            </w:r>
          </w:p>
        </w:tc>
        <w:tc>
          <w:tcPr>
            <w:tcW w:w="1453" w:type="dxa"/>
            <w:tcBorders>
              <w:top w:val="nil"/>
              <w:bottom w:val="single" w:sz="16" w:space="0" w:color="000000"/>
              <w:right w:val="single" w:sz="16" w:space="0" w:color="000000"/>
            </w:tcBorders>
            <w:shd w:val="clear" w:color="auto" w:fill="FFFFFF"/>
          </w:tcPr>
          <w:p w:rsidR="0069058F" w:rsidRPr="0069058F" w:rsidRDefault="0069058F" w:rsidP="0069058F">
            <w:pPr>
              <w:autoSpaceDE w:val="0"/>
              <w:autoSpaceDN w:val="0"/>
              <w:adjustRightInd w:val="0"/>
              <w:spacing w:line="320" w:lineRule="atLeast"/>
              <w:ind w:left="60" w:right="60"/>
              <w:jc w:val="right"/>
              <w:rPr>
                <w:rFonts w:ascii="Arial" w:hAnsi="Arial" w:cs="Arial"/>
                <w:color w:val="000000"/>
                <w:sz w:val="18"/>
                <w:szCs w:val="18"/>
                <w:lang w:val="es-ES"/>
              </w:rPr>
            </w:pPr>
            <w:r w:rsidRPr="0069058F">
              <w:rPr>
                <w:rFonts w:ascii="Arial" w:hAnsi="Arial" w:cs="Arial"/>
                <w:color w:val="000000"/>
                <w:sz w:val="18"/>
                <w:szCs w:val="18"/>
                <w:lang w:val="es-ES"/>
              </w:rPr>
              <w:t>36</w:t>
            </w:r>
          </w:p>
        </w:tc>
      </w:tr>
      <w:tr w:rsidR="0069058F" w:rsidRPr="0069058F">
        <w:tblPrEx>
          <w:tblCellMar>
            <w:top w:w="0" w:type="dxa"/>
            <w:bottom w:w="0" w:type="dxa"/>
          </w:tblCellMar>
        </w:tblPrEx>
        <w:trPr>
          <w:cantSplit/>
        </w:trPr>
        <w:tc>
          <w:tcPr>
            <w:tcW w:w="7605" w:type="dxa"/>
            <w:gridSpan w:val="4"/>
            <w:tcBorders>
              <w:top w:val="nil"/>
              <w:left w:val="nil"/>
              <w:bottom w:val="nil"/>
              <w:right w:val="nil"/>
            </w:tcBorders>
            <w:shd w:val="clear" w:color="auto" w:fill="FFFFFF"/>
          </w:tcPr>
          <w:p w:rsidR="0069058F" w:rsidRPr="0069058F" w:rsidRDefault="0069058F" w:rsidP="0069058F">
            <w:pPr>
              <w:autoSpaceDE w:val="0"/>
              <w:autoSpaceDN w:val="0"/>
              <w:adjustRightInd w:val="0"/>
              <w:spacing w:line="320" w:lineRule="atLeast"/>
              <w:ind w:left="60" w:right="60"/>
              <w:rPr>
                <w:rFonts w:ascii="Arial" w:hAnsi="Arial" w:cs="Arial"/>
                <w:color w:val="000000"/>
                <w:sz w:val="18"/>
                <w:szCs w:val="18"/>
                <w:lang w:val="es-ES"/>
              </w:rPr>
            </w:pPr>
            <w:r w:rsidRPr="0069058F">
              <w:rPr>
                <w:rFonts w:ascii="Arial" w:eastAsia="MS Mincho" w:hAnsi="Arial" w:cs="Arial"/>
                <w:color w:val="000000"/>
                <w:sz w:val="18"/>
                <w:szCs w:val="18"/>
                <w:lang w:val="es-ES"/>
              </w:rPr>
              <w:t xml:space="preserve">Tabla </w:t>
            </w:r>
            <w:r>
              <w:rPr>
                <w:rFonts w:ascii="Arial" w:hAnsi="Arial" w:cs="Arial"/>
                <w:color w:val="000000"/>
                <w:sz w:val="18"/>
                <w:szCs w:val="18"/>
                <w:lang w:val="es-ES"/>
              </w:rPr>
              <w:t>3.</w:t>
            </w:r>
            <w:r w:rsidRPr="0069058F">
              <w:rPr>
                <w:rFonts w:ascii="Arial" w:eastAsia="MS Mincho" w:hAnsi="Arial" w:cs="Arial"/>
                <w:color w:val="000000"/>
                <w:sz w:val="18"/>
                <w:szCs w:val="18"/>
                <w:lang w:val="es-ES"/>
              </w:rPr>
              <w:t xml:space="preserve">1. Coeficiente de correlación de </w:t>
            </w:r>
            <w:proofErr w:type="spellStart"/>
            <w:r w:rsidRPr="0069058F">
              <w:rPr>
                <w:rFonts w:ascii="Arial" w:eastAsia="MS Mincho" w:hAnsi="Arial" w:cs="Arial"/>
                <w:color w:val="000000"/>
                <w:sz w:val="18"/>
                <w:szCs w:val="18"/>
                <w:lang w:val="es-ES"/>
              </w:rPr>
              <w:t>Pearson</w:t>
            </w:r>
            <w:proofErr w:type="spellEnd"/>
            <w:r w:rsidRPr="0069058F">
              <w:rPr>
                <w:rFonts w:ascii="Arial" w:eastAsia="MS Mincho" w:hAnsi="Arial" w:cs="Arial"/>
                <w:color w:val="000000"/>
                <w:sz w:val="18"/>
                <w:szCs w:val="18"/>
                <w:lang w:val="es-ES"/>
              </w:rPr>
              <w:t xml:space="preserve"> para las variables “madurez2 “ y “</w:t>
            </w:r>
            <w:proofErr w:type="spellStart"/>
            <w:r w:rsidRPr="0069058F">
              <w:rPr>
                <w:rFonts w:ascii="Arial" w:eastAsia="MS Mincho" w:hAnsi="Arial" w:cs="Arial"/>
                <w:color w:val="000000"/>
                <w:sz w:val="18"/>
                <w:szCs w:val="18"/>
                <w:lang w:val="es-ES"/>
              </w:rPr>
              <w:t>comprens</w:t>
            </w:r>
            <w:proofErr w:type="spellEnd"/>
            <w:r w:rsidRPr="0069058F">
              <w:rPr>
                <w:rFonts w:ascii="Arial" w:eastAsia="MS Mincho" w:hAnsi="Arial" w:cs="Arial"/>
                <w:color w:val="000000"/>
                <w:sz w:val="18"/>
                <w:szCs w:val="18"/>
                <w:lang w:val="es-ES"/>
              </w:rPr>
              <w:t>”</w:t>
            </w:r>
          </w:p>
        </w:tc>
      </w:tr>
    </w:tbl>
    <w:p w:rsidR="0069058F" w:rsidRPr="0069058F" w:rsidRDefault="0069058F" w:rsidP="00837BFE">
      <w:pPr>
        <w:jc w:val="both"/>
        <w:rPr>
          <w:lang w:val="es-ES"/>
        </w:rPr>
      </w:pPr>
    </w:p>
    <w:p w:rsidR="0069058F" w:rsidRDefault="00092D80" w:rsidP="00837BFE">
      <w:pPr>
        <w:jc w:val="both"/>
      </w:pPr>
      <w:r>
        <w:t>En consecuencia</w:t>
      </w:r>
      <w:r w:rsidR="00CA1A4A">
        <w:t>,</w:t>
      </w:r>
      <w:r>
        <w:t xml:space="preserve"> las inferencias que se derivan de la prueba de Mª Victoria de la Cruz</w:t>
      </w:r>
      <w:r w:rsidR="00540E58">
        <w:t xml:space="preserve"> sobre la compresión lectora son válidas</w:t>
      </w:r>
      <w:r w:rsidR="00CA1A4A">
        <w:t xml:space="preserve"> (en términos de validez </w:t>
      </w:r>
      <w:proofErr w:type="spellStart"/>
      <w:r w:rsidR="00CA1A4A">
        <w:t>criterial</w:t>
      </w:r>
      <w:proofErr w:type="spellEnd"/>
      <w:r w:rsidR="00CA1A4A">
        <w:t>)</w:t>
      </w:r>
      <w:r w:rsidR="00540E58">
        <w:t>.</w:t>
      </w:r>
      <w:r w:rsidR="009E3559">
        <w:t xml:space="preserve"> Esta Prueba es capaz de explicar el 77%</w:t>
      </w:r>
      <w:r w:rsidR="00CA1A4A">
        <w:t xml:space="preserve"> (coeficiente de determinación 0,768)</w:t>
      </w:r>
      <w:r w:rsidR="009E3559">
        <w:t xml:space="preserve"> de la varianza observada en comprensión lectora. </w:t>
      </w:r>
    </w:p>
    <w:p w:rsidR="0069058F" w:rsidRDefault="0069058F" w:rsidP="00837BFE">
      <w:pPr>
        <w:jc w:val="both"/>
      </w:pPr>
    </w:p>
    <w:p w:rsidR="00092D80" w:rsidRDefault="009E3559" w:rsidP="00837BFE">
      <w:pPr>
        <w:jc w:val="both"/>
      </w:pPr>
      <w:r>
        <w:t xml:space="preserve">Respecto a </w:t>
      </w:r>
      <w:r w:rsidR="000C02BB">
        <w:t>los 43</w:t>
      </w:r>
      <w:r>
        <w:t xml:space="preserve"> punt</w:t>
      </w:r>
      <w:r w:rsidR="000C02BB">
        <w:t>os</w:t>
      </w:r>
      <w:r>
        <w:t xml:space="preserve"> obtenid</w:t>
      </w:r>
      <w:r w:rsidR="000C02BB">
        <w:t>os</w:t>
      </w:r>
      <w:r>
        <w:t xml:space="preserve"> por un alumno en </w:t>
      </w:r>
      <w:r w:rsidR="0069058F">
        <w:t xml:space="preserve">la prueba </w:t>
      </w:r>
      <w:proofErr w:type="spellStart"/>
      <w:r w:rsidR="0069058F">
        <w:t>predictora</w:t>
      </w:r>
      <w:proofErr w:type="spellEnd"/>
      <w:r>
        <w:t>, cabe decir que su valor medio estimado en comprensión lectora es de 24,5 puntos.</w:t>
      </w:r>
      <w:r w:rsidR="000C02BB">
        <w:t xml:space="preserve"> Basta sustituir los valores de A y B (ver tabla 3.2) en la ecuación de la recta de regresión de Y sobre X (Y´= -4,352 </w:t>
      </w:r>
      <w:r w:rsidR="004353A8">
        <w:t>+</w:t>
      </w:r>
      <w:r w:rsidR="000C02BB">
        <w:t xml:space="preserve"> 0,672*43) para llegar a tal resultado.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tblPr>
      <w:tblGrid>
        <w:gridCol w:w="647"/>
        <w:gridCol w:w="2162"/>
        <w:gridCol w:w="1297"/>
        <w:gridCol w:w="1295"/>
        <w:gridCol w:w="1297"/>
        <w:gridCol w:w="901"/>
        <w:gridCol w:w="899"/>
      </w:tblGrid>
      <w:tr w:rsidR="000C02BB" w:rsidRPr="000C02BB" w:rsidTr="000C02BB">
        <w:tblPrEx>
          <w:tblCellMar>
            <w:top w:w="0" w:type="dxa"/>
            <w:bottom w:w="0" w:type="dxa"/>
          </w:tblCellMar>
        </w:tblPrEx>
        <w:trPr>
          <w:cantSplit/>
          <w:tblHeader/>
        </w:trPr>
        <w:tc>
          <w:tcPr>
            <w:tcW w:w="5000" w:type="pct"/>
            <w:gridSpan w:val="7"/>
            <w:tcBorders>
              <w:top w:val="nil"/>
              <w:left w:val="nil"/>
              <w:bottom w:val="nil"/>
              <w:right w:val="nil"/>
            </w:tcBorders>
            <w:shd w:val="clear" w:color="auto" w:fill="FFFFFF"/>
            <w:vAlign w:val="center"/>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p>
        </w:tc>
      </w:tr>
      <w:tr w:rsidR="000C02BB" w:rsidRPr="000C02BB" w:rsidTr="000C02BB">
        <w:tblPrEx>
          <w:tblCellMar>
            <w:top w:w="0" w:type="dxa"/>
            <w:bottom w:w="0" w:type="dxa"/>
          </w:tblCellMar>
        </w:tblPrEx>
        <w:trPr>
          <w:cantSplit/>
          <w:tblHeader/>
        </w:trPr>
        <w:tc>
          <w:tcPr>
            <w:tcW w:w="1653" w:type="pct"/>
            <w:gridSpan w:val="2"/>
            <w:vMerge w:val="restart"/>
            <w:tcBorders>
              <w:top w:val="single" w:sz="16" w:space="0" w:color="000000"/>
              <w:left w:val="single" w:sz="16" w:space="0" w:color="000000"/>
              <w:bottom w:val="single" w:sz="16" w:space="0" w:color="000000"/>
              <w:right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rPr>
                <w:rFonts w:ascii="Arial" w:hAnsi="Arial" w:cs="Arial"/>
                <w:color w:val="000000"/>
                <w:sz w:val="18"/>
                <w:szCs w:val="18"/>
                <w:lang w:val="es-ES"/>
              </w:rPr>
            </w:pPr>
            <w:r w:rsidRPr="000C02BB">
              <w:rPr>
                <w:rFonts w:ascii="Arial" w:hAnsi="Arial" w:cs="Arial"/>
                <w:color w:val="000000"/>
                <w:sz w:val="18"/>
                <w:szCs w:val="18"/>
                <w:lang w:val="es-ES"/>
              </w:rPr>
              <w:t>Modelo</w:t>
            </w:r>
          </w:p>
        </w:tc>
        <w:tc>
          <w:tcPr>
            <w:tcW w:w="1525" w:type="pct"/>
            <w:gridSpan w:val="2"/>
            <w:tcBorders>
              <w:top w:val="single" w:sz="16" w:space="0" w:color="000000"/>
              <w:left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Coeficientes no estandarizados</w:t>
            </w:r>
          </w:p>
        </w:tc>
        <w:tc>
          <w:tcPr>
            <w:tcW w:w="763" w:type="pct"/>
            <w:tcBorders>
              <w:top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Coeficientes tipificados</w:t>
            </w:r>
          </w:p>
        </w:tc>
        <w:tc>
          <w:tcPr>
            <w:tcW w:w="530" w:type="pct"/>
            <w:vMerge w:val="restart"/>
            <w:tcBorders>
              <w:top w:val="single" w:sz="16" w:space="0" w:color="000000"/>
              <w:bottom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t</w:t>
            </w:r>
          </w:p>
        </w:tc>
        <w:tc>
          <w:tcPr>
            <w:tcW w:w="529" w:type="pct"/>
            <w:vMerge w:val="restart"/>
            <w:tcBorders>
              <w:top w:val="single" w:sz="16" w:space="0" w:color="000000"/>
              <w:bottom w:val="single" w:sz="16" w:space="0" w:color="000000"/>
              <w:right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Sig.</w:t>
            </w:r>
          </w:p>
        </w:tc>
      </w:tr>
      <w:tr w:rsidR="000C02BB" w:rsidRPr="000C02BB" w:rsidTr="000C02BB">
        <w:tblPrEx>
          <w:tblCellMar>
            <w:top w:w="0" w:type="dxa"/>
            <w:bottom w:w="0" w:type="dxa"/>
          </w:tblCellMar>
        </w:tblPrEx>
        <w:trPr>
          <w:cantSplit/>
          <w:tblHeader/>
        </w:trPr>
        <w:tc>
          <w:tcPr>
            <w:tcW w:w="1653" w:type="pct"/>
            <w:gridSpan w:val="2"/>
            <w:vMerge/>
            <w:tcBorders>
              <w:top w:val="single" w:sz="16" w:space="0" w:color="000000"/>
              <w:left w:val="single" w:sz="16" w:space="0" w:color="000000"/>
              <w:bottom w:val="single" w:sz="16" w:space="0" w:color="000000"/>
              <w:right w:val="single" w:sz="16" w:space="0" w:color="000000"/>
            </w:tcBorders>
            <w:shd w:val="clear" w:color="auto" w:fill="FFFFFF"/>
          </w:tcPr>
          <w:p w:rsidR="000C02BB" w:rsidRPr="000C02BB" w:rsidRDefault="000C02BB" w:rsidP="000C02BB">
            <w:pPr>
              <w:autoSpaceDE w:val="0"/>
              <w:autoSpaceDN w:val="0"/>
              <w:adjustRightInd w:val="0"/>
              <w:rPr>
                <w:rFonts w:ascii="Arial" w:hAnsi="Arial" w:cs="Arial"/>
                <w:color w:val="000000"/>
                <w:sz w:val="18"/>
                <w:szCs w:val="18"/>
                <w:lang w:val="es-ES"/>
              </w:rPr>
            </w:pPr>
          </w:p>
        </w:tc>
        <w:tc>
          <w:tcPr>
            <w:tcW w:w="763" w:type="pct"/>
            <w:tcBorders>
              <w:left w:val="single" w:sz="16" w:space="0" w:color="000000"/>
              <w:bottom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B</w:t>
            </w:r>
          </w:p>
        </w:tc>
        <w:tc>
          <w:tcPr>
            <w:tcW w:w="762" w:type="pct"/>
            <w:tcBorders>
              <w:bottom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 xml:space="preserve">Error </w:t>
            </w:r>
            <w:proofErr w:type="spellStart"/>
            <w:r w:rsidRPr="000C02BB">
              <w:rPr>
                <w:rFonts w:ascii="Arial" w:hAnsi="Arial" w:cs="Arial"/>
                <w:color w:val="000000"/>
                <w:sz w:val="18"/>
                <w:szCs w:val="18"/>
                <w:lang w:val="es-ES"/>
              </w:rPr>
              <w:t>típ</w:t>
            </w:r>
            <w:proofErr w:type="spellEnd"/>
            <w:r w:rsidRPr="000C02BB">
              <w:rPr>
                <w:rFonts w:ascii="Arial" w:hAnsi="Arial" w:cs="Arial"/>
                <w:color w:val="000000"/>
                <w:sz w:val="18"/>
                <w:szCs w:val="18"/>
                <w:lang w:val="es-ES"/>
              </w:rPr>
              <w:t>.</w:t>
            </w:r>
          </w:p>
        </w:tc>
        <w:tc>
          <w:tcPr>
            <w:tcW w:w="763" w:type="pct"/>
            <w:tcBorders>
              <w:bottom w:val="single" w:sz="16" w:space="0" w:color="000000"/>
            </w:tcBorders>
            <w:shd w:val="clear" w:color="auto" w:fill="FFFFFF"/>
            <w:vAlign w:val="bottom"/>
          </w:tcPr>
          <w:p w:rsidR="000C02BB" w:rsidRPr="000C02BB" w:rsidRDefault="000C02BB" w:rsidP="000C02BB">
            <w:pPr>
              <w:autoSpaceDE w:val="0"/>
              <w:autoSpaceDN w:val="0"/>
              <w:adjustRightInd w:val="0"/>
              <w:spacing w:line="320" w:lineRule="atLeast"/>
              <w:ind w:left="60" w:right="60"/>
              <w:jc w:val="center"/>
              <w:rPr>
                <w:rFonts w:ascii="Arial" w:hAnsi="Arial" w:cs="Arial"/>
                <w:color w:val="000000"/>
                <w:sz w:val="18"/>
                <w:szCs w:val="18"/>
                <w:lang w:val="es-ES"/>
              </w:rPr>
            </w:pPr>
            <w:r w:rsidRPr="000C02BB">
              <w:rPr>
                <w:rFonts w:ascii="Arial" w:hAnsi="Arial" w:cs="Arial"/>
                <w:color w:val="000000"/>
                <w:sz w:val="18"/>
                <w:szCs w:val="18"/>
                <w:lang w:val="es-ES"/>
              </w:rPr>
              <w:t>Beta</w:t>
            </w:r>
          </w:p>
        </w:tc>
        <w:tc>
          <w:tcPr>
            <w:tcW w:w="530" w:type="pct"/>
            <w:vMerge/>
            <w:tcBorders>
              <w:top w:val="single" w:sz="16" w:space="0" w:color="000000"/>
              <w:bottom w:val="single" w:sz="16" w:space="0" w:color="000000"/>
            </w:tcBorders>
            <w:shd w:val="clear" w:color="auto" w:fill="FFFFFF"/>
            <w:vAlign w:val="bottom"/>
          </w:tcPr>
          <w:p w:rsidR="000C02BB" w:rsidRPr="000C02BB" w:rsidRDefault="000C02BB" w:rsidP="000C02BB">
            <w:pPr>
              <w:autoSpaceDE w:val="0"/>
              <w:autoSpaceDN w:val="0"/>
              <w:adjustRightInd w:val="0"/>
              <w:rPr>
                <w:rFonts w:ascii="Arial" w:hAnsi="Arial" w:cs="Arial"/>
                <w:color w:val="000000"/>
                <w:sz w:val="18"/>
                <w:szCs w:val="18"/>
                <w:lang w:val="es-ES"/>
              </w:rPr>
            </w:pPr>
          </w:p>
        </w:tc>
        <w:tc>
          <w:tcPr>
            <w:tcW w:w="529" w:type="pct"/>
            <w:vMerge/>
            <w:tcBorders>
              <w:top w:val="single" w:sz="16" w:space="0" w:color="000000"/>
              <w:bottom w:val="single" w:sz="16" w:space="0" w:color="000000"/>
              <w:right w:val="single" w:sz="16" w:space="0" w:color="000000"/>
            </w:tcBorders>
            <w:shd w:val="clear" w:color="auto" w:fill="FFFFFF"/>
            <w:vAlign w:val="bottom"/>
          </w:tcPr>
          <w:p w:rsidR="000C02BB" w:rsidRPr="000C02BB" w:rsidRDefault="000C02BB" w:rsidP="000C02BB">
            <w:pPr>
              <w:autoSpaceDE w:val="0"/>
              <w:autoSpaceDN w:val="0"/>
              <w:adjustRightInd w:val="0"/>
              <w:rPr>
                <w:rFonts w:ascii="Arial" w:hAnsi="Arial" w:cs="Arial"/>
                <w:color w:val="000000"/>
                <w:sz w:val="18"/>
                <w:szCs w:val="18"/>
                <w:lang w:val="es-ES"/>
              </w:rPr>
            </w:pPr>
          </w:p>
        </w:tc>
      </w:tr>
      <w:tr w:rsidR="000C02BB" w:rsidRPr="000C02BB" w:rsidTr="000C02BB">
        <w:tblPrEx>
          <w:tblCellMar>
            <w:top w:w="0" w:type="dxa"/>
            <w:bottom w:w="0" w:type="dxa"/>
          </w:tblCellMar>
        </w:tblPrEx>
        <w:trPr>
          <w:cantSplit/>
          <w:tblHeader/>
        </w:trPr>
        <w:tc>
          <w:tcPr>
            <w:tcW w:w="381" w:type="pct"/>
            <w:vMerge w:val="restart"/>
            <w:tcBorders>
              <w:top w:val="single" w:sz="16" w:space="0" w:color="000000"/>
              <w:left w:val="single" w:sz="16" w:space="0" w:color="000000"/>
              <w:bottom w:val="single" w:sz="16" w:space="0" w:color="000000"/>
              <w:right w:val="nil"/>
            </w:tcBorders>
            <w:shd w:val="clear" w:color="auto" w:fill="FFFFFF"/>
          </w:tcPr>
          <w:p w:rsidR="000C02BB" w:rsidRPr="000C02BB" w:rsidRDefault="004353A8" w:rsidP="000C02BB">
            <w:pPr>
              <w:autoSpaceDE w:val="0"/>
              <w:autoSpaceDN w:val="0"/>
              <w:adjustRightInd w:val="0"/>
              <w:spacing w:line="320" w:lineRule="atLeast"/>
              <w:ind w:left="60" w:right="60"/>
              <w:rPr>
                <w:rFonts w:ascii="Arial" w:hAnsi="Arial" w:cs="Arial"/>
                <w:color w:val="000000"/>
                <w:sz w:val="18"/>
                <w:szCs w:val="18"/>
                <w:lang w:val="es-ES"/>
              </w:rPr>
            </w:pPr>
            <w:r>
              <w:rPr>
                <w:noProof/>
                <w:lang w:val="es-ES"/>
              </w:rPr>
              <w:pict>
                <v:shapetype id="_x0000_t202" coordsize="21600,21600" o:spt="202" path="m,l,21600r21600,l21600,xe">
                  <v:stroke joinstyle="miter"/>
                  <v:path gradientshapeok="t" o:connecttype="rect"/>
                </v:shapetype>
                <v:shape id="_x0000_s1027" type="#_x0000_t202" style="position:absolute;left:0;text-align:left;margin-left:1.85pt;margin-top:47.85pt;width:408pt;height:18pt;z-index:251658240;mso-position-horizontal-relative:text;mso-position-vertical-relative:text" filled="f" stroked="f">
                  <v:textbox>
                    <w:txbxContent>
                      <w:p w:rsidR="004353A8" w:rsidRDefault="004353A8" w:rsidP="004353A8">
                        <w:pPr>
                          <w:rPr>
                            <w:rFonts w:ascii="Cambria" w:eastAsia="MS Mincho" w:hAnsi="Cambria" w:cs="Times New Roman"/>
                            <w:sz w:val="18"/>
                            <w:szCs w:val="18"/>
                          </w:rPr>
                        </w:pPr>
                        <w:r>
                          <w:rPr>
                            <w:sz w:val="18"/>
                            <w:szCs w:val="18"/>
                          </w:rPr>
                          <w:t>Tabla 3.2</w:t>
                        </w:r>
                        <w:r>
                          <w:rPr>
                            <w:rFonts w:ascii="Cambria" w:eastAsia="MS Mincho" w:hAnsi="Cambria" w:cs="Times New Roman"/>
                            <w:sz w:val="18"/>
                            <w:szCs w:val="18"/>
                          </w:rPr>
                          <w:t>. Valores de A y B en la ecuación de la recta de regresión de Y sobre X.</w:t>
                        </w:r>
                      </w:p>
                    </w:txbxContent>
                  </v:textbox>
                </v:shape>
              </w:pict>
            </w:r>
            <w:r w:rsidR="000C02BB" w:rsidRPr="000C02BB">
              <w:rPr>
                <w:rFonts w:ascii="Arial" w:hAnsi="Arial" w:cs="Arial"/>
                <w:color w:val="000000"/>
                <w:sz w:val="18"/>
                <w:szCs w:val="18"/>
                <w:lang w:val="es-ES"/>
              </w:rPr>
              <w:t>1</w:t>
            </w:r>
          </w:p>
        </w:tc>
        <w:tc>
          <w:tcPr>
            <w:tcW w:w="1272" w:type="pct"/>
            <w:tcBorders>
              <w:top w:val="single" w:sz="16" w:space="0" w:color="000000"/>
              <w:left w:val="nil"/>
              <w:bottom w:val="nil"/>
              <w:right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rPr>
                <w:rFonts w:ascii="Arial" w:hAnsi="Arial" w:cs="Arial"/>
                <w:color w:val="000000"/>
                <w:sz w:val="18"/>
                <w:szCs w:val="18"/>
                <w:lang w:val="es-ES"/>
              </w:rPr>
            </w:pPr>
            <w:r w:rsidRPr="000C02BB">
              <w:rPr>
                <w:rFonts w:ascii="Arial" w:hAnsi="Arial" w:cs="Arial"/>
                <w:color w:val="000000"/>
                <w:sz w:val="18"/>
                <w:szCs w:val="18"/>
                <w:lang w:val="es-ES"/>
              </w:rPr>
              <w:t>(Constante)</w:t>
            </w:r>
          </w:p>
        </w:tc>
        <w:tc>
          <w:tcPr>
            <w:tcW w:w="763" w:type="pct"/>
            <w:tcBorders>
              <w:top w:val="single" w:sz="16" w:space="0" w:color="000000"/>
              <w:left w:val="single" w:sz="16" w:space="0" w:color="000000"/>
              <w:bottom w:val="nil"/>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-4,352</w:t>
            </w:r>
          </w:p>
        </w:tc>
        <w:tc>
          <w:tcPr>
            <w:tcW w:w="762" w:type="pct"/>
            <w:tcBorders>
              <w:top w:val="single" w:sz="16" w:space="0" w:color="000000"/>
              <w:bottom w:val="nil"/>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1,793</w:t>
            </w:r>
          </w:p>
        </w:tc>
        <w:tc>
          <w:tcPr>
            <w:tcW w:w="763" w:type="pct"/>
            <w:tcBorders>
              <w:top w:val="single" w:sz="16" w:space="0" w:color="000000"/>
              <w:bottom w:val="nil"/>
            </w:tcBorders>
            <w:shd w:val="clear" w:color="auto" w:fill="FFFFFF"/>
            <w:vAlign w:val="center"/>
          </w:tcPr>
          <w:p w:rsidR="000C02BB" w:rsidRPr="000C02BB" w:rsidRDefault="000C02BB" w:rsidP="000C02BB">
            <w:pPr>
              <w:autoSpaceDE w:val="0"/>
              <w:autoSpaceDN w:val="0"/>
              <w:adjustRightInd w:val="0"/>
              <w:jc w:val="center"/>
              <w:rPr>
                <w:rFonts w:ascii="Times New Roman" w:hAnsi="Times New Roman" w:cs="Times New Roman"/>
                <w:lang w:val="es-ES"/>
              </w:rPr>
            </w:pPr>
          </w:p>
        </w:tc>
        <w:tc>
          <w:tcPr>
            <w:tcW w:w="530" w:type="pct"/>
            <w:tcBorders>
              <w:top w:val="single" w:sz="16" w:space="0" w:color="000000"/>
              <w:bottom w:val="nil"/>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-2,427</w:t>
            </w:r>
          </w:p>
        </w:tc>
        <w:tc>
          <w:tcPr>
            <w:tcW w:w="529" w:type="pct"/>
            <w:tcBorders>
              <w:top w:val="single" w:sz="16" w:space="0" w:color="000000"/>
              <w:bottom w:val="nil"/>
              <w:right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,021</w:t>
            </w:r>
          </w:p>
        </w:tc>
      </w:tr>
      <w:tr w:rsidR="000C02BB" w:rsidRPr="000C02BB" w:rsidTr="000C02BB">
        <w:tblPrEx>
          <w:tblCellMar>
            <w:top w:w="0" w:type="dxa"/>
            <w:bottom w:w="0" w:type="dxa"/>
          </w:tblCellMar>
        </w:tblPrEx>
        <w:trPr>
          <w:cantSplit/>
          <w:tblHeader/>
        </w:trPr>
        <w:tc>
          <w:tcPr>
            <w:tcW w:w="381" w:type="pct"/>
            <w:vMerge/>
            <w:tcBorders>
              <w:top w:val="single" w:sz="16" w:space="0" w:color="000000"/>
              <w:left w:val="single" w:sz="16" w:space="0" w:color="000000"/>
              <w:bottom w:val="single" w:sz="16" w:space="0" w:color="000000"/>
              <w:right w:val="nil"/>
            </w:tcBorders>
            <w:shd w:val="clear" w:color="auto" w:fill="FFFFFF"/>
          </w:tcPr>
          <w:p w:rsidR="000C02BB" w:rsidRPr="000C02BB" w:rsidRDefault="000C02BB" w:rsidP="000C02BB">
            <w:pPr>
              <w:autoSpaceDE w:val="0"/>
              <w:autoSpaceDN w:val="0"/>
              <w:adjustRightInd w:val="0"/>
              <w:rPr>
                <w:rFonts w:ascii="Arial" w:hAnsi="Arial" w:cs="Arial"/>
                <w:color w:val="000000"/>
                <w:sz w:val="18"/>
                <w:szCs w:val="18"/>
                <w:lang w:val="es-ES"/>
              </w:rPr>
            </w:pPr>
          </w:p>
        </w:tc>
        <w:tc>
          <w:tcPr>
            <w:tcW w:w="1272" w:type="pct"/>
            <w:tcBorders>
              <w:top w:val="nil"/>
              <w:left w:val="nil"/>
              <w:bottom w:val="single" w:sz="16" w:space="0" w:color="000000"/>
              <w:right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rPr>
                <w:rFonts w:ascii="Arial" w:hAnsi="Arial" w:cs="Arial"/>
                <w:color w:val="000000"/>
                <w:sz w:val="18"/>
                <w:szCs w:val="18"/>
                <w:lang w:val="es-ES"/>
              </w:rPr>
            </w:pPr>
            <w:r w:rsidRPr="000C02BB">
              <w:rPr>
                <w:rFonts w:ascii="Arial" w:hAnsi="Arial" w:cs="Arial"/>
                <w:color w:val="000000"/>
                <w:sz w:val="18"/>
                <w:szCs w:val="18"/>
                <w:lang w:val="es-ES"/>
              </w:rPr>
              <w:t>Test María Victoria de la Cruz</w:t>
            </w:r>
          </w:p>
        </w:tc>
        <w:tc>
          <w:tcPr>
            <w:tcW w:w="763" w:type="pct"/>
            <w:tcBorders>
              <w:top w:val="nil"/>
              <w:left w:val="single" w:sz="16" w:space="0" w:color="000000"/>
              <w:bottom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,672</w:t>
            </w:r>
          </w:p>
        </w:tc>
        <w:tc>
          <w:tcPr>
            <w:tcW w:w="762" w:type="pct"/>
            <w:tcBorders>
              <w:top w:val="nil"/>
              <w:bottom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,063</w:t>
            </w:r>
          </w:p>
        </w:tc>
        <w:tc>
          <w:tcPr>
            <w:tcW w:w="763" w:type="pct"/>
            <w:tcBorders>
              <w:top w:val="nil"/>
              <w:bottom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,876</w:t>
            </w:r>
          </w:p>
        </w:tc>
        <w:tc>
          <w:tcPr>
            <w:tcW w:w="530" w:type="pct"/>
            <w:tcBorders>
              <w:top w:val="nil"/>
              <w:bottom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10,602</w:t>
            </w:r>
          </w:p>
        </w:tc>
        <w:tc>
          <w:tcPr>
            <w:tcW w:w="529" w:type="pct"/>
            <w:tcBorders>
              <w:top w:val="nil"/>
              <w:bottom w:val="single" w:sz="16" w:space="0" w:color="000000"/>
              <w:right w:val="single" w:sz="16" w:space="0" w:color="000000"/>
            </w:tcBorders>
            <w:shd w:val="clear" w:color="auto" w:fill="FFFFFF"/>
          </w:tcPr>
          <w:p w:rsidR="000C02BB" w:rsidRPr="000C02BB" w:rsidRDefault="000C02BB" w:rsidP="000C02BB">
            <w:pPr>
              <w:autoSpaceDE w:val="0"/>
              <w:autoSpaceDN w:val="0"/>
              <w:adjustRightInd w:val="0"/>
              <w:spacing w:line="320" w:lineRule="atLeast"/>
              <w:ind w:left="60" w:right="60"/>
              <w:jc w:val="right"/>
              <w:rPr>
                <w:rFonts w:ascii="Arial" w:hAnsi="Arial" w:cs="Arial"/>
                <w:color w:val="000000"/>
                <w:sz w:val="18"/>
                <w:szCs w:val="18"/>
                <w:lang w:val="es-ES"/>
              </w:rPr>
            </w:pPr>
            <w:r w:rsidRPr="000C02BB">
              <w:rPr>
                <w:rFonts w:ascii="Arial" w:hAnsi="Arial" w:cs="Arial"/>
                <w:color w:val="000000"/>
                <w:sz w:val="18"/>
                <w:szCs w:val="18"/>
                <w:lang w:val="es-ES"/>
              </w:rPr>
              <w:t>,000</w:t>
            </w:r>
          </w:p>
        </w:tc>
      </w:tr>
      <w:tr w:rsidR="000C02BB" w:rsidRPr="000C02BB" w:rsidTr="000C02BB">
        <w:tblPrEx>
          <w:tblCellMar>
            <w:top w:w="0" w:type="dxa"/>
            <w:bottom w:w="0" w:type="dxa"/>
          </w:tblCellMar>
        </w:tblPrEx>
        <w:trPr>
          <w:cantSplit/>
        </w:trPr>
        <w:tc>
          <w:tcPr>
            <w:tcW w:w="5000" w:type="pct"/>
            <w:gridSpan w:val="7"/>
            <w:tcBorders>
              <w:top w:val="nil"/>
              <w:left w:val="nil"/>
              <w:bottom w:val="nil"/>
              <w:right w:val="nil"/>
            </w:tcBorders>
            <w:shd w:val="clear" w:color="auto" w:fill="FFFFFF"/>
          </w:tcPr>
          <w:p w:rsidR="000C02BB" w:rsidRPr="000C02BB" w:rsidRDefault="000C02BB" w:rsidP="000C02BB">
            <w:pPr>
              <w:autoSpaceDE w:val="0"/>
              <w:autoSpaceDN w:val="0"/>
              <w:adjustRightInd w:val="0"/>
              <w:spacing w:line="320" w:lineRule="atLeast"/>
              <w:ind w:left="60" w:right="60"/>
              <w:rPr>
                <w:rFonts w:ascii="Arial" w:hAnsi="Arial" w:cs="Arial"/>
                <w:color w:val="000000"/>
                <w:sz w:val="18"/>
                <w:szCs w:val="18"/>
                <w:lang w:val="es-ES"/>
              </w:rPr>
            </w:pPr>
          </w:p>
        </w:tc>
      </w:tr>
    </w:tbl>
    <w:p w:rsidR="000C02BB" w:rsidRPr="000C02BB" w:rsidRDefault="000C02BB" w:rsidP="000C02BB">
      <w:pPr>
        <w:autoSpaceDE w:val="0"/>
        <w:autoSpaceDN w:val="0"/>
        <w:adjustRightInd w:val="0"/>
        <w:spacing w:line="400" w:lineRule="atLeast"/>
        <w:rPr>
          <w:rFonts w:ascii="Times New Roman" w:hAnsi="Times New Roman" w:cs="Times New Roman"/>
          <w:lang w:val="es-ES"/>
        </w:rPr>
      </w:pPr>
    </w:p>
    <w:p w:rsidR="00E35778" w:rsidRDefault="00E35778" w:rsidP="00837BFE">
      <w:pPr>
        <w:pStyle w:val="Prrafodelista"/>
        <w:numPr>
          <w:ilvl w:val="0"/>
          <w:numId w:val="1"/>
        </w:numPr>
        <w:jc w:val="both"/>
      </w:pPr>
      <w:r>
        <w:t>Conclusiones.</w:t>
      </w:r>
    </w:p>
    <w:p w:rsidR="00E35778" w:rsidRDefault="00E35778" w:rsidP="00837BFE">
      <w:pPr>
        <w:jc w:val="both"/>
      </w:pPr>
    </w:p>
    <w:p w:rsidR="00E35778" w:rsidRDefault="00E35778" w:rsidP="00837BFE">
      <w:pPr>
        <w:jc w:val="both"/>
      </w:pPr>
      <w:r>
        <w:t>La prueba de Mª Victoria de la Cruz permite hacer inferencias válidas acerca de la compresión lectora de los alumnos de Educación Infantil. Su valor predictivo se sitúa en torno al 77% de las variaciones observadas</w:t>
      </w:r>
      <w:r w:rsidR="0069058F">
        <w:t>,</w:t>
      </w:r>
      <w:r>
        <w:t xml:space="preserve"> en comprensión lectora</w:t>
      </w:r>
      <w:r w:rsidR="0069058F">
        <w:t>,</w:t>
      </w:r>
      <w:r>
        <w:t xml:space="preserve"> en dicho nivel educativo.</w:t>
      </w:r>
    </w:p>
    <w:p w:rsidR="0069058F" w:rsidRDefault="0069058F" w:rsidP="00837BFE">
      <w:pPr>
        <w:jc w:val="both"/>
      </w:pPr>
    </w:p>
    <w:p w:rsidR="00E35778" w:rsidRDefault="00E35778" w:rsidP="00837BFE">
      <w:pPr>
        <w:jc w:val="both"/>
      </w:pPr>
      <w:r>
        <w:t>Es posible hacer predicciones acerca de puntuaciones individuales de los sujetos en comprensión lectora</w:t>
      </w:r>
      <w:r w:rsidR="0069058F">
        <w:t>, una vez</w:t>
      </w:r>
      <w:r>
        <w:t xml:space="preserve"> conocidas sus puntuaciones en la prueba </w:t>
      </w:r>
      <w:r w:rsidR="0069058F">
        <w:t xml:space="preserve">de predicción lectora </w:t>
      </w:r>
      <w:r>
        <w:t>de Mª Victoria de la Cruz.</w:t>
      </w:r>
    </w:p>
    <w:sectPr w:rsidR="00E35778" w:rsidSect="00694CD0">
      <w:pgSz w:w="11900" w:h="16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0222EB"/>
    <w:multiLevelType w:val="hybridMultilevel"/>
    <w:tmpl w:val="1FA20B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savePreviewPicture/>
  <w:compat>
    <w:useFELayout/>
  </w:compat>
  <w:rsids>
    <w:rsidRoot w:val="007255C5"/>
    <w:rsid w:val="00032672"/>
    <w:rsid w:val="00092D80"/>
    <w:rsid w:val="000A6D82"/>
    <w:rsid w:val="000C02BB"/>
    <w:rsid w:val="00142A44"/>
    <w:rsid w:val="004353A8"/>
    <w:rsid w:val="00493E4A"/>
    <w:rsid w:val="00540E58"/>
    <w:rsid w:val="005B5535"/>
    <w:rsid w:val="0069058F"/>
    <w:rsid w:val="00694CD0"/>
    <w:rsid w:val="007255C5"/>
    <w:rsid w:val="007940D1"/>
    <w:rsid w:val="007E0EFE"/>
    <w:rsid w:val="00837BFE"/>
    <w:rsid w:val="008D7101"/>
    <w:rsid w:val="009E3559"/>
    <w:rsid w:val="00A537F6"/>
    <w:rsid w:val="00A95EDC"/>
    <w:rsid w:val="00B33EE2"/>
    <w:rsid w:val="00B83FD9"/>
    <w:rsid w:val="00BF6269"/>
    <w:rsid w:val="00CA1A4A"/>
    <w:rsid w:val="00E35778"/>
    <w:rsid w:val="00F835C2"/>
    <w:rsid w:val="00FB1144"/>
  </w:rsids>
  <m:mathPr>
    <m:mathFont m:val="Cambria Math"/>
    <m:brkBin m:val="before"/>
    <m:brkBinSub m:val="--"/>
    <m:smallFrac m:val="off"/>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1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255C5"/>
    <w:rPr>
      <w:color w:val="0000FF"/>
      <w:u w:val="single"/>
    </w:rPr>
  </w:style>
  <w:style w:type="character" w:styleId="Hipervnculovisitado">
    <w:name w:val="FollowedHyperlink"/>
    <w:basedOn w:val="Fuentedeprrafopredeter"/>
    <w:uiPriority w:val="99"/>
    <w:semiHidden/>
    <w:unhideWhenUsed/>
    <w:rsid w:val="007255C5"/>
    <w:rPr>
      <w:color w:val="800080" w:themeColor="followedHyperlink"/>
      <w:u w:val="single"/>
    </w:rPr>
  </w:style>
  <w:style w:type="paragraph" w:styleId="Prrafodelista">
    <w:name w:val="List Paragraph"/>
    <w:basedOn w:val="Normal"/>
    <w:uiPriority w:val="34"/>
    <w:qFormat/>
    <w:rsid w:val="00A95E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255C5"/>
    <w:rPr>
      <w:color w:val="0000FF"/>
      <w:u w:val="single"/>
    </w:rPr>
  </w:style>
  <w:style w:type="character" w:styleId="Hipervnculovisitado">
    <w:name w:val="FollowedHyperlink"/>
    <w:basedOn w:val="Fuentedeprrafopredeter"/>
    <w:uiPriority w:val="99"/>
    <w:semiHidden/>
    <w:unhideWhenUsed/>
    <w:rsid w:val="007255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46B93-7405-4D12-8A79-1B24C52E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668</Words>
  <Characters>3679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Universidad de Sevilla</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Garcia Jimenez</dc:creator>
  <cp:keywords/>
  <dc:description/>
  <cp:lastModifiedBy>Windows Xp SP3 Relax Edition 2</cp:lastModifiedBy>
  <cp:revision>6</cp:revision>
  <dcterms:created xsi:type="dcterms:W3CDTF">2011-03-22T16:57:00Z</dcterms:created>
  <dcterms:modified xsi:type="dcterms:W3CDTF">2011-03-22T18:37:00Z</dcterms:modified>
</cp:coreProperties>
</file>